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B9D42" w14:textId="77777777" w:rsidR="007F76E0" w:rsidRDefault="001B435C" w:rsidP="002900D2">
      <w:pPr>
        <w:pStyle w:val="Listenabsatz"/>
        <w:rPr>
          <w:b/>
          <w:bCs/>
        </w:rPr>
      </w:pPr>
      <w:r>
        <w:rPr>
          <w:b/>
          <w:bCs/>
        </w:rPr>
        <w:t>Umsetzung der Aktionärsrechterichtlinie (ARUG II)</w:t>
      </w:r>
    </w:p>
    <w:p w14:paraId="328CC5B1" w14:textId="77777777" w:rsidR="00825716" w:rsidRDefault="007F76E0" w:rsidP="007F76E0">
      <w:pPr>
        <w:ind w:left="720" w:hanging="360"/>
      </w:pPr>
      <w:r>
        <w:rPr>
          <w:b/>
          <w:bCs/>
        </w:rPr>
        <w:t>___________________________________</w:t>
      </w:r>
      <w:r w:rsidR="00B403AB">
        <w:rPr>
          <w:b/>
          <w:bCs/>
        </w:rPr>
        <w:t>_________________</w:t>
      </w:r>
    </w:p>
    <w:p w14:paraId="5D88F389" w14:textId="77777777" w:rsidR="00825716" w:rsidRDefault="00825716" w:rsidP="00825716">
      <w:pPr>
        <w:pStyle w:val="Listenabsatz"/>
        <w:rPr>
          <w:b/>
          <w:bCs/>
        </w:rPr>
      </w:pPr>
    </w:p>
    <w:p w14:paraId="69F3BF9C" w14:textId="77777777" w:rsidR="00825716" w:rsidRDefault="00825716" w:rsidP="00825716">
      <w:pPr>
        <w:pStyle w:val="Listenabsatz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70AB2A4" w14:textId="77777777" w:rsidR="00825716" w:rsidRDefault="00825716" w:rsidP="00825716">
      <w:pPr>
        <w:pStyle w:val="Listenabsatz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825716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§134b AktG Mitwirkungspolitik und Mitwirkungsbericht</w:t>
      </w:r>
    </w:p>
    <w:p w14:paraId="007417CC" w14:textId="77777777" w:rsidR="00DA0E5B" w:rsidRDefault="00DA0E5B" w:rsidP="00825716">
      <w:pPr>
        <w:pStyle w:val="Listenabsatz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00C194E7" w14:textId="77777777" w:rsidR="00DA0E5B" w:rsidRDefault="00DA0E5B" w:rsidP="00825716">
      <w:pPr>
        <w:pStyle w:val="Listenabsatz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D7A0058" w14:textId="77777777" w:rsidR="00825716" w:rsidRDefault="00F60145" w:rsidP="00F60145">
      <w:pPr>
        <w:ind w:left="720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1.</w:t>
      </w:r>
      <w:r w:rsidR="00825716" w:rsidRPr="00F60145">
        <w:rPr>
          <w:rFonts w:ascii="Arial" w:hAnsi="Arial" w:cs="Arial"/>
          <w:bCs/>
          <w:color w:val="000000"/>
          <w:sz w:val="22"/>
          <w:szCs w:val="22"/>
          <w:lang w:eastAsia="en-US"/>
        </w:rPr>
        <w:t>§134b Abs. 1 Entwicklung und Offenlegung der Mitwirkungspolitik</w:t>
      </w:r>
    </w:p>
    <w:p w14:paraId="6C6BE533" w14:textId="77777777" w:rsidR="000E0486" w:rsidRDefault="00F60145" w:rsidP="00F60145">
      <w:pPr>
        <w:ind w:left="720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2.</w:t>
      </w:r>
      <w:r w:rsidR="00825716" w:rsidRPr="00825716">
        <w:rPr>
          <w:rFonts w:ascii="Arial" w:hAnsi="Arial" w:cs="Arial"/>
          <w:bCs/>
          <w:color w:val="000000"/>
          <w:sz w:val="22"/>
          <w:szCs w:val="22"/>
          <w:lang w:eastAsia="en-US"/>
        </w:rPr>
        <w:t>§134b Abs. 2 Bericht über die Mitwirkung</w:t>
      </w:r>
    </w:p>
    <w:p w14:paraId="0244D40C" w14:textId="77777777" w:rsidR="002900D2" w:rsidRDefault="000E0486" w:rsidP="00F60145">
      <w:pPr>
        <w:ind w:left="720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3.§134b Abs. 3 Bericht über das</w:t>
      </w:r>
      <w:r w:rsidR="00825716" w:rsidRPr="00825716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Abstimmverhalten </w:t>
      </w:r>
    </w:p>
    <w:p w14:paraId="25878BA1" w14:textId="77777777" w:rsidR="00F85999" w:rsidRPr="00825716" w:rsidRDefault="00F85999" w:rsidP="00F60145">
      <w:pPr>
        <w:ind w:left="720"/>
        <w:rPr>
          <w:rFonts w:ascii="Arial" w:hAnsi="Arial" w:cs="Arial"/>
          <w:bCs/>
          <w:color w:val="000000"/>
          <w:sz w:val="22"/>
          <w:szCs w:val="22"/>
          <w:lang w:eastAsia="en-US"/>
        </w:rPr>
      </w:pPr>
    </w:p>
    <w:p w14:paraId="5C046CF7" w14:textId="77777777" w:rsidR="006510B0" w:rsidRDefault="000E0486" w:rsidP="00DA0E5B">
      <w:pPr>
        <w:shd w:val="clear" w:color="auto" w:fill="EDEDED"/>
        <w:spacing w:after="225"/>
        <w:ind w:left="708"/>
        <w:jc w:val="both"/>
        <w:rPr>
          <w:rFonts w:ascii="Arial" w:hAnsi="Arial" w:cs="Arial"/>
          <w:sz w:val="16"/>
          <w:szCs w:val="16"/>
        </w:rPr>
      </w:pPr>
      <w:bookmarkStart w:id="0" w:name="_Hlk50629840"/>
      <w:r w:rsidRPr="000A327A">
        <w:rPr>
          <w:rFonts w:ascii="Arial" w:hAnsi="Arial" w:cs="Arial"/>
          <w:sz w:val="16"/>
          <w:szCs w:val="16"/>
        </w:rPr>
        <w:t xml:space="preserve">AXA Investment Managers Deutschland GmbH als Kapitalverwaltungsgesellschaft hat das Portfoliomanagement sowie die Ausübung der Stimmrechte an diverse Gesellschaften der AXA IM Gruppe </w:t>
      </w:r>
      <w:r w:rsidR="006510B0">
        <w:rPr>
          <w:rFonts w:ascii="Arial" w:hAnsi="Arial" w:cs="Arial"/>
          <w:sz w:val="16"/>
          <w:szCs w:val="16"/>
        </w:rPr>
        <w:t>delegiert mit der Vorgabe die mit der Gesellschaft abgestimmten und in den nachfolgenden Abschnitten beschriebenen Richtlinien einzuhalten.</w:t>
      </w:r>
    </w:p>
    <w:bookmarkEnd w:id="0"/>
    <w:p w14:paraId="30D52988" w14:textId="77777777" w:rsidR="00CC52E8" w:rsidRPr="00DA0E5B" w:rsidRDefault="00CC52E8" w:rsidP="00DA0E5B">
      <w:pPr>
        <w:shd w:val="clear" w:color="auto" w:fill="EDEDED"/>
        <w:spacing w:after="225"/>
        <w:ind w:left="708"/>
        <w:jc w:val="both"/>
        <w:rPr>
          <w:rFonts w:ascii="Arial" w:hAnsi="Arial" w:cs="Arial"/>
          <w:sz w:val="16"/>
          <w:szCs w:val="16"/>
          <w:u w:val="single"/>
        </w:rPr>
      </w:pPr>
      <w:r w:rsidRPr="00DA0E5B">
        <w:rPr>
          <w:rFonts w:ascii="Arial" w:hAnsi="Arial" w:cs="Arial"/>
          <w:sz w:val="16"/>
          <w:szCs w:val="16"/>
          <w:u w:val="single"/>
        </w:rPr>
        <w:t>Mitwirkungspolitik gemäß § 134 b Aktiengesetz</w:t>
      </w:r>
    </w:p>
    <w:p w14:paraId="7CA70C29" w14:textId="77777777" w:rsidR="00F85999" w:rsidRPr="00D620D8" w:rsidRDefault="00D620D8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  <w:r w:rsidRPr="00D620D8">
        <w:rPr>
          <w:rFonts w:ascii="Arial" w:hAnsi="Arial" w:cs="Arial"/>
          <w:sz w:val="16"/>
          <w:szCs w:val="16"/>
        </w:rPr>
        <w:t>Es gilt hier die globale Richtl</w:t>
      </w:r>
      <w:r>
        <w:rPr>
          <w:rFonts w:ascii="Arial" w:hAnsi="Arial" w:cs="Arial"/>
          <w:sz w:val="16"/>
          <w:szCs w:val="16"/>
        </w:rPr>
        <w:t xml:space="preserve">inie von </w:t>
      </w:r>
      <w:r w:rsidRPr="00D620D8">
        <w:rPr>
          <w:rFonts w:ascii="Arial" w:hAnsi="Arial" w:cs="Arial"/>
          <w:sz w:val="16"/>
          <w:szCs w:val="16"/>
        </w:rPr>
        <w:t>AXA IM</w:t>
      </w:r>
      <w:r>
        <w:rPr>
          <w:rFonts w:ascii="Arial" w:hAnsi="Arial" w:cs="Arial"/>
          <w:sz w:val="16"/>
          <w:szCs w:val="16"/>
        </w:rPr>
        <w:t>, diese finden Sie unter</w:t>
      </w:r>
      <w:r w:rsidR="0054553E">
        <w:rPr>
          <w:rFonts w:ascii="Arial" w:hAnsi="Arial" w:cs="Arial"/>
          <w:sz w:val="16"/>
          <w:szCs w:val="16"/>
        </w:rPr>
        <w:t>:</w:t>
      </w:r>
      <w:r w:rsidRPr="00D620D8">
        <w:rPr>
          <w:rFonts w:ascii="Arial" w:hAnsi="Arial" w:cs="Arial"/>
          <w:sz w:val="16"/>
          <w:szCs w:val="16"/>
        </w:rPr>
        <w:t xml:space="preserve"> </w:t>
      </w:r>
    </w:p>
    <w:p w14:paraId="2F8A8538" w14:textId="77777777" w:rsidR="00D620D8" w:rsidRPr="00D620D8" w:rsidRDefault="00D620D8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</w:p>
    <w:p w14:paraId="70EB5E30" w14:textId="68B2DC25" w:rsidR="006C0145" w:rsidRPr="00D620D8" w:rsidRDefault="00901F7E" w:rsidP="006C0145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  <w:lang w:val="en-GB"/>
        </w:rPr>
      </w:pPr>
      <w:hyperlink r:id="rId8" w:history="1">
        <w:r w:rsidR="006C0145" w:rsidRPr="0073190F">
          <w:rPr>
            <w:rStyle w:val="Hyperlink"/>
            <w:rFonts w:ascii="Arial" w:hAnsi="Arial" w:cs="Arial"/>
            <w:sz w:val="16"/>
            <w:szCs w:val="16"/>
            <w:lang w:val="en-GB"/>
          </w:rPr>
          <w:t>AXA IM Corporate Governance &amp; Voting Policy</w:t>
        </w:r>
      </w:hyperlink>
    </w:p>
    <w:p w14:paraId="6AB0DE3A" w14:textId="77777777" w:rsidR="00D620D8" w:rsidRDefault="00D620D8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  <w:lang w:val="en-GB"/>
        </w:rPr>
      </w:pPr>
    </w:p>
    <w:p w14:paraId="60156266" w14:textId="77777777" w:rsidR="00D620D8" w:rsidRPr="00D620D8" w:rsidRDefault="00D620D8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  <w:lang w:val="en-GB"/>
        </w:rPr>
      </w:pPr>
    </w:p>
    <w:p w14:paraId="2F6CD147" w14:textId="77777777" w:rsidR="00F85999" w:rsidRPr="003A6970" w:rsidRDefault="00F85999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  <w:u w:val="single"/>
        </w:rPr>
      </w:pPr>
      <w:r w:rsidRPr="003A6970">
        <w:rPr>
          <w:rFonts w:ascii="Arial" w:hAnsi="Arial" w:cs="Arial"/>
          <w:sz w:val="16"/>
          <w:szCs w:val="16"/>
          <w:u w:val="single"/>
        </w:rPr>
        <w:t>Mitwirkungsbericht gemäß § 134 b Abs. 2 AktG</w:t>
      </w:r>
    </w:p>
    <w:p w14:paraId="7CA54BAF" w14:textId="77777777" w:rsidR="00F85999" w:rsidRDefault="00F85999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</w:p>
    <w:p w14:paraId="6C556FEF" w14:textId="77777777" w:rsidR="00F85999" w:rsidRDefault="000A327A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Eine ausführliche Beschreibung der Aktivitäten finden Sie im Active Ownership Report der AXA IM Gruppe</w:t>
      </w:r>
      <w:r w:rsidR="0054553E">
        <w:rPr>
          <w:rFonts w:ascii="Arial" w:hAnsi="Arial" w:cs="Arial"/>
          <w:sz w:val="16"/>
          <w:szCs w:val="16"/>
        </w:rPr>
        <w:t xml:space="preserve"> unter:</w:t>
      </w:r>
    </w:p>
    <w:p w14:paraId="24B40B4D" w14:textId="77777777" w:rsidR="000A327A" w:rsidRDefault="000A327A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</w:p>
    <w:p w14:paraId="73C4277D" w14:textId="41269BDA" w:rsidR="006C0145" w:rsidRDefault="00901F7E" w:rsidP="00DA0E5B">
      <w:pPr>
        <w:shd w:val="clear" w:color="auto" w:fill="EDEDED"/>
        <w:ind w:left="708"/>
        <w:jc w:val="both"/>
        <w:rPr>
          <w:rStyle w:val="Hyperlink"/>
          <w:rFonts w:ascii="Arial" w:hAnsi="Arial" w:cs="Arial"/>
          <w:sz w:val="16"/>
          <w:szCs w:val="16"/>
        </w:rPr>
      </w:pPr>
      <w:hyperlink r:id="rId9" w:history="1">
        <w:r w:rsidR="006C0145" w:rsidRPr="006C0145">
          <w:rPr>
            <w:rStyle w:val="Hyperlink"/>
            <w:rFonts w:ascii="Arial" w:hAnsi="Arial" w:cs="Arial"/>
            <w:sz w:val="16"/>
            <w:szCs w:val="16"/>
          </w:rPr>
          <w:t>Active Ownership</w:t>
        </w:r>
      </w:hyperlink>
    </w:p>
    <w:p w14:paraId="6415631B" w14:textId="2387E26C" w:rsidR="0073190F" w:rsidRDefault="0073190F" w:rsidP="00DA0E5B">
      <w:pPr>
        <w:shd w:val="clear" w:color="auto" w:fill="EDEDED"/>
        <w:ind w:left="708"/>
        <w:jc w:val="both"/>
        <w:rPr>
          <w:rStyle w:val="Hyperlink"/>
          <w:rFonts w:ascii="Arial" w:hAnsi="Arial" w:cs="Arial"/>
          <w:sz w:val="16"/>
          <w:szCs w:val="16"/>
        </w:rPr>
      </w:pPr>
    </w:p>
    <w:p w14:paraId="2F05FF7C" w14:textId="77777777" w:rsidR="0073190F" w:rsidRDefault="0073190F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</w:p>
    <w:p w14:paraId="7D836EB6" w14:textId="77777777" w:rsidR="003A6970" w:rsidRDefault="003A6970" w:rsidP="003A6970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  <w:u w:val="single"/>
        </w:rPr>
      </w:pPr>
      <w:r w:rsidRPr="003A6970">
        <w:rPr>
          <w:rFonts w:ascii="Arial" w:hAnsi="Arial" w:cs="Arial"/>
          <w:sz w:val="16"/>
          <w:szCs w:val="16"/>
          <w:u w:val="single"/>
        </w:rPr>
        <w:t>Abstimmverhalten gemäß § 134 b Abs. 3 AktG</w:t>
      </w:r>
    </w:p>
    <w:p w14:paraId="363B39DA" w14:textId="77777777" w:rsidR="000A327A" w:rsidRDefault="000A327A" w:rsidP="003A6970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  <w:u w:val="single"/>
        </w:rPr>
      </w:pPr>
    </w:p>
    <w:p w14:paraId="192722CF" w14:textId="77777777" w:rsidR="000A327A" w:rsidRPr="000A327A" w:rsidRDefault="000A327A" w:rsidP="003A6970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  <w:r w:rsidRPr="000A327A">
        <w:rPr>
          <w:rFonts w:ascii="Arial" w:hAnsi="Arial" w:cs="Arial"/>
          <w:sz w:val="16"/>
          <w:szCs w:val="16"/>
        </w:rPr>
        <w:t>Das Abstimmverhalten zu allen Unternehmen ist abrufbar unter</w:t>
      </w:r>
      <w:r w:rsidR="0054553E">
        <w:rPr>
          <w:rFonts w:ascii="Arial" w:hAnsi="Arial" w:cs="Arial"/>
          <w:sz w:val="16"/>
          <w:szCs w:val="16"/>
        </w:rPr>
        <w:t>:</w:t>
      </w:r>
    </w:p>
    <w:p w14:paraId="0D6F2509" w14:textId="77777777" w:rsidR="000A327A" w:rsidRPr="000A327A" w:rsidRDefault="000A327A" w:rsidP="003A6970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</w:p>
    <w:p w14:paraId="3C4A46EB" w14:textId="7CD3D375" w:rsidR="00F85999" w:rsidRDefault="00645A46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  <w:hyperlink r:id="rId10" w:anchor="/MjI4MQ==" w:history="1">
        <w:r w:rsidRPr="00645A46">
          <w:rPr>
            <w:rStyle w:val="Hyperlink"/>
            <w:rFonts w:ascii="Arial" w:hAnsi="Arial" w:cs="Arial"/>
            <w:sz w:val="16"/>
            <w:szCs w:val="16"/>
          </w:rPr>
          <w:t>Abstimmverhalten</w:t>
        </w:r>
      </w:hyperlink>
    </w:p>
    <w:p w14:paraId="65642058" w14:textId="77777777" w:rsidR="00160255" w:rsidRDefault="00160255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</w:p>
    <w:p w14:paraId="088F82CF" w14:textId="77777777" w:rsidR="00F85999" w:rsidRPr="00DA0E5B" w:rsidRDefault="00F85999" w:rsidP="00DA0E5B">
      <w:pPr>
        <w:shd w:val="clear" w:color="auto" w:fill="EDEDED"/>
        <w:ind w:left="708"/>
        <w:jc w:val="both"/>
        <w:rPr>
          <w:rFonts w:ascii="Arial" w:hAnsi="Arial" w:cs="Arial"/>
          <w:sz w:val="16"/>
          <w:szCs w:val="16"/>
        </w:rPr>
      </w:pPr>
    </w:p>
    <w:p w14:paraId="049A0616" w14:textId="77777777" w:rsidR="00CC52E8" w:rsidRDefault="00CC52E8" w:rsidP="00DA0E5B">
      <w:pPr>
        <w:pStyle w:val="Listenabsatz"/>
        <w:ind w:left="1428"/>
        <w:rPr>
          <w:b/>
          <w:bCs/>
        </w:rPr>
      </w:pPr>
    </w:p>
    <w:p w14:paraId="23E82707" w14:textId="77777777" w:rsidR="00825716" w:rsidRDefault="00825716" w:rsidP="00825716">
      <w:pPr>
        <w:pStyle w:val="Listenabsatz"/>
        <w:rPr>
          <w:b/>
          <w:bCs/>
        </w:rPr>
      </w:pPr>
    </w:p>
    <w:p w14:paraId="1C2DF164" w14:textId="77777777" w:rsidR="00825716" w:rsidRDefault="00825716" w:rsidP="00825716">
      <w:pPr>
        <w:pStyle w:val="Listenabsatz"/>
        <w:rPr>
          <w:b/>
          <w:bCs/>
        </w:rPr>
      </w:pPr>
    </w:p>
    <w:sectPr w:rsidR="0082571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F1D1B" w14:textId="77777777" w:rsidR="00901F7E" w:rsidRDefault="00901F7E" w:rsidP="00B403AB">
      <w:r>
        <w:separator/>
      </w:r>
    </w:p>
  </w:endnote>
  <w:endnote w:type="continuationSeparator" w:id="0">
    <w:p w14:paraId="0F5EB771" w14:textId="77777777" w:rsidR="00901F7E" w:rsidRDefault="00901F7E" w:rsidP="00B4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2211D" w14:textId="1AE43BC7" w:rsidR="00985D0F" w:rsidRDefault="00B6346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D60ED8" wp14:editId="1D3F0F0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8bc453e84f1c25165543e66" descr="{&quot;HashCode&quot;:-20307504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440AD0" w14:textId="64CDF307" w:rsidR="00B63465" w:rsidRPr="00B63465" w:rsidRDefault="00B63465" w:rsidP="00B6346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6346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AXA IM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60ED8" id="_x0000_t202" coordsize="21600,21600" o:spt="202" path="m,l,21600r21600,l21600,xe">
              <v:stroke joinstyle="miter"/>
              <v:path gradientshapeok="t" o:connecttype="rect"/>
            </v:shapetype>
            <v:shape id="MSIPCM68bc453e84f1c25165543e66" o:spid="_x0000_s1026" type="#_x0000_t202" alt="{&quot;HashCode&quot;:-203075045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BGwjbdrgIAAEcFAAAOAAAA&#10;AAAAAAAAAAAAAC4CAABkcnMvZTJvRG9jLnhtbFBLAQItABQABgAIAAAAIQCf1UHs3wAAAAsBAAAP&#10;AAAAAAAAAAAAAAAAAAgFAABkcnMvZG93bnJldi54bWxQSwUGAAAAAAQABADzAAAAFAYAAAAA&#10;" o:allowincell="f" filled="f" stroked="f" strokeweight=".5pt">
              <v:textbox inset=",0,,0">
                <w:txbxContent>
                  <w:p w14:paraId="1A440AD0" w14:textId="64CDF307" w:rsidR="00B63465" w:rsidRPr="00B63465" w:rsidRDefault="00B63465" w:rsidP="00B6346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63465">
                      <w:rPr>
                        <w:rFonts w:ascii="Calibri" w:hAnsi="Calibri" w:cs="Calibri"/>
                        <w:color w:val="000000"/>
                        <w:sz w:val="20"/>
                      </w:rPr>
                      <w:t>AXA IM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85A2D" w14:textId="77777777" w:rsidR="00901F7E" w:rsidRDefault="00901F7E" w:rsidP="00B403AB">
      <w:r>
        <w:separator/>
      </w:r>
    </w:p>
  </w:footnote>
  <w:footnote w:type="continuationSeparator" w:id="0">
    <w:p w14:paraId="5A2169F8" w14:textId="77777777" w:rsidR="00901F7E" w:rsidRDefault="00901F7E" w:rsidP="00B4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9C6F7" w14:textId="77777777" w:rsidR="00985D0F" w:rsidRDefault="00985D0F">
    <w:pPr>
      <w:pStyle w:val="Kopfzeile"/>
      <w:rPr>
        <w:sz w:val="16"/>
      </w:rPr>
    </w:pPr>
  </w:p>
  <w:p w14:paraId="4052C5BA" w14:textId="77777777" w:rsidR="00985D0F" w:rsidRDefault="00985D0F">
    <w:pPr>
      <w:pStyle w:val="Kopfzeile"/>
      <w:rPr>
        <w:sz w:val="16"/>
      </w:rPr>
    </w:pPr>
  </w:p>
  <w:p w14:paraId="42783BCC" w14:textId="77777777" w:rsidR="00985D0F" w:rsidRDefault="00985D0F">
    <w:pPr>
      <w:pStyle w:val="Kopfzeile"/>
      <w:rPr>
        <w:sz w:val="16"/>
      </w:rPr>
    </w:pPr>
  </w:p>
  <w:p w14:paraId="199AE90A" w14:textId="65F39E54" w:rsidR="00B403AB" w:rsidRDefault="00B403AB">
    <w:pPr>
      <w:pStyle w:val="Kopfzeile"/>
      <w:rPr>
        <w:sz w:val="16"/>
      </w:rPr>
    </w:pPr>
    <w:r>
      <w:rPr>
        <w:sz w:val="16"/>
      </w:rPr>
      <w:t>AXA Investment Managers Deutschland GmbH</w:t>
    </w:r>
    <w:r>
      <w:rPr>
        <w:sz w:val="16"/>
      </w:rPr>
      <w:tab/>
    </w:r>
    <w:r>
      <w:rPr>
        <w:sz w:val="16"/>
      </w:rPr>
      <w:tab/>
      <w:t>März 202</w:t>
    </w:r>
    <w:r w:rsidR="00600137">
      <w:rPr>
        <w:sz w:val="16"/>
      </w:rPr>
      <w:t>1</w:t>
    </w:r>
  </w:p>
  <w:p w14:paraId="66EAD5A2" w14:textId="77777777" w:rsidR="00B403AB" w:rsidRDefault="00B403AB">
    <w:pPr>
      <w:pStyle w:val="Kopfzeile"/>
      <w:rPr>
        <w:sz w:val="16"/>
      </w:rPr>
    </w:pPr>
  </w:p>
  <w:p w14:paraId="5A12A01C" w14:textId="77777777" w:rsidR="00B403AB" w:rsidRDefault="00B403AB">
    <w:pPr>
      <w:pStyle w:val="Kopfzeile"/>
      <w:rPr>
        <w:sz w:val="16"/>
      </w:rPr>
    </w:pPr>
  </w:p>
  <w:p w14:paraId="17954078" w14:textId="77777777" w:rsidR="00B403AB" w:rsidRDefault="00B403AB">
    <w:pPr>
      <w:pStyle w:val="Kopfzeile"/>
      <w:rPr>
        <w:sz w:val="16"/>
      </w:rPr>
    </w:pPr>
  </w:p>
  <w:p w14:paraId="53D6FD74" w14:textId="77777777" w:rsidR="00B403AB" w:rsidRDefault="00B403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2409"/>
    <w:multiLevelType w:val="hybridMultilevel"/>
    <w:tmpl w:val="41B8C2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7149"/>
    <w:multiLevelType w:val="hybridMultilevel"/>
    <w:tmpl w:val="8D2670E4"/>
    <w:lvl w:ilvl="0" w:tplc="92EC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15F3E"/>
    <w:multiLevelType w:val="hybridMultilevel"/>
    <w:tmpl w:val="C29A3A16"/>
    <w:lvl w:ilvl="0" w:tplc="71A094E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D0A5D"/>
    <w:multiLevelType w:val="hybridMultilevel"/>
    <w:tmpl w:val="4DC2946A"/>
    <w:lvl w:ilvl="0" w:tplc="AF4A2B30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94C2B"/>
    <w:multiLevelType w:val="hybridMultilevel"/>
    <w:tmpl w:val="B060F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50280"/>
    <w:multiLevelType w:val="hybridMultilevel"/>
    <w:tmpl w:val="B4FE0D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FF"/>
    <w:rsid w:val="00093D11"/>
    <w:rsid w:val="000A327A"/>
    <w:rsid w:val="000A48FF"/>
    <w:rsid w:val="000E0486"/>
    <w:rsid w:val="00160255"/>
    <w:rsid w:val="0016469C"/>
    <w:rsid w:val="001814DF"/>
    <w:rsid w:val="00184432"/>
    <w:rsid w:val="001913E9"/>
    <w:rsid w:val="001B435C"/>
    <w:rsid w:val="001D1AF3"/>
    <w:rsid w:val="00210A28"/>
    <w:rsid w:val="0022326C"/>
    <w:rsid w:val="00236F2E"/>
    <w:rsid w:val="002900D2"/>
    <w:rsid w:val="002B123E"/>
    <w:rsid w:val="003A6970"/>
    <w:rsid w:val="004218DA"/>
    <w:rsid w:val="00422636"/>
    <w:rsid w:val="004823B0"/>
    <w:rsid w:val="00484471"/>
    <w:rsid w:val="004A3F67"/>
    <w:rsid w:val="004A7D9D"/>
    <w:rsid w:val="0054553E"/>
    <w:rsid w:val="00555451"/>
    <w:rsid w:val="005B6261"/>
    <w:rsid w:val="005E30B1"/>
    <w:rsid w:val="00600137"/>
    <w:rsid w:val="00636853"/>
    <w:rsid w:val="00641A6A"/>
    <w:rsid w:val="00645A46"/>
    <w:rsid w:val="006510B0"/>
    <w:rsid w:val="00665009"/>
    <w:rsid w:val="00676558"/>
    <w:rsid w:val="006C0145"/>
    <w:rsid w:val="0073190F"/>
    <w:rsid w:val="007675C7"/>
    <w:rsid w:val="007C521C"/>
    <w:rsid w:val="007E28F9"/>
    <w:rsid w:val="007E6226"/>
    <w:rsid w:val="007F76E0"/>
    <w:rsid w:val="00825716"/>
    <w:rsid w:val="008C7B6E"/>
    <w:rsid w:val="00901F7E"/>
    <w:rsid w:val="00903120"/>
    <w:rsid w:val="00917DD5"/>
    <w:rsid w:val="00935EC8"/>
    <w:rsid w:val="009444ED"/>
    <w:rsid w:val="00972D90"/>
    <w:rsid w:val="00972FBF"/>
    <w:rsid w:val="00985D0F"/>
    <w:rsid w:val="009B6074"/>
    <w:rsid w:val="009C2C09"/>
    <w:rsid w:val="00A32D67"/>
    <w:rsid w:val="00A64C24"/>
    <w:rsid w:val="00A9489D"/>
    <w:rsid w:val="00AA3872"/>
    <w:rsid w:val="00AC53F6"/>
    <w:rsid w:val="00AF0616"/>
    <w:rsid w:val="00AF3D10"/>
    <w:rsid w:val="00B22122"/>
    <w:rsid w:val="00B22263"/>
    <w:rsid w:val="00B24283"/>
    <w:rsid w:val="00B403AB"/>
    <w:rsid w:val="00B55DA3"/>
    <w:rsid w:val="00B63465"/>
    <w:rsid w:val="00B73A3F"/>
    <w:rsid w:val="00BD10B5"/>
    <w:rsid w:val="00C01E46"/>
    <w:rsid w:val="00C17AD0"/>
    <w:rsid w:val="00C21B0D"/>
    <w:rsid w:val="00C374A8"/>
    <w:rsid w:val="00C92C24"/>
    <w:rsid w:val="00CC52E8"/>
    <w:rsid w:val="00D4499C"/>
    <w:rsid w:val="00D620D8"/>
    <w:rsid w:val="00DA0E5B"/>
    <w:rsid w:val="00DA6DE0"/>
    <w:rsid w:val="00E25D3D"/>
    <w:rsid w:val="00E36907"/>
    <w:rsid w:val="00E63009"/>
    <w:rsid w:val="00E67199"/>
    <w:rsid w:val="00EA489E"/>
    <w:rsid w:val="00ED6C75"/>
    <w:rsid w:val="00F330D1"/>
    <w:rsid w:val="00F42A2B"/>
    <w:rsid w:val="00F60145"/>
    <w:rsid w:val="00F85999"/>
    <w:rsid w:val="00FB055D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657A8"/>
  <w15:chartTrackingRefBased/>
  <w15:docId w15:val="{1CD9BCEF-D555-4533-AE96-121DDA83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326C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232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23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232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2326C"/>
    <w:rPr>
      <w:rFonts w:ascii="Arial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2326C"/>
    <w:rPr>
      <w:rFonts w:ascii="Arial" w:hAnsi="Arial" w:cs="Arial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2326C"/>
    <w:rPr>
      <w:rFonts w:ascii="Arial" w:hAnsi="Arial" w:cs="Arial"/>
      <w:b/>
      <w:bCs/>
      <w:sz w:val="26"/>
      <w:szCs w:val="26"/>
      <w:lang w:eastAsia="de-DE"/>
    </w:rPr>
  </w:style>
  <w:style w:type="paragraph" w:customStyle="1" w:styleId="Default">
    <w:name w:val="Default"/>
    <w:rsid w:val="000A48FF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17DD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7DD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92C2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403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03AB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403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03AB"/>
    <w:rPr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85999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13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0137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xa-im.com/sites/corporate/files/insight/pdf/AXA_IM_Corporate_Governance_Voting_Policy_May_20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ds.issgovernance.com/v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xa-im.com/sites/corporate/files/insight/pdf/STEWARDSHIP-2020-0421-FINA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AEA25-5082-47FD-93D0-0383F37F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Wappenschmidt, Evelyn</dc:creator>
  <cp:keywords/>
  <dc:description/>
  <cp:lastModifiedBy>KÖRNER Markus</cp:lastModifiedBy>
  <cp:revision>6</cp:revision>
  <dcterms:created xsi:type="dcterms:W3CDTF">2021-09-22T06:42:00Z</dcterms:created>
  <dcterms:modified xsi:type="dcterms:W3CDTF">2021-09-22T11:20:00Z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b89073-f537-4fe2-a4ef-71907f8c184f_Enabled">
    <vt:lpwstr>true</vt:lpwstr>
  </property>
  <property fmtid="{D5CDD505-2E9C-101B-9397-08002B2CF9AE}" pid="3" name="MSIP_Label_f3b89073-f537-4fe2-a4ef-71907f8c184f_SetDate">
    <vt:lpwstr>2021-09-22T11:20:19Z</vt:lpwstr>
  </property>
  <property fmtid="{D5CDD505-2E9C-101B-9397-08002B2CF9AE}" pid="4" name="MSIP_Label_f3b89073-f537-4fe2-a4ef-71907f8c184f_Method">
    <vt:lpwstr>Standard</vt:lpwstr>
  </property>
  <property fmtid="{D5CDD505-2E9C-101B-9397-08002B2CF9AE}" pid="5" name="MSIP_Label_f3b89073-f537-4fe2-a4ef-71907f8c184f_Name">
    <vt:lpwstr>INTERNAL</vt:lpwstr>
  </property>
  <property fmtid="{D5CDD505-2E9C-101B-9397-08002B2CF9AE}" pid="6" name="MSIP_Label_f3b89073-f537-4fe2-a4ef-71907f8c184f_SiteId">
    <vt:lpwstr>85f3dce2-9de5-43ba-8d73-76ef63954d34</vt:lpwstr>
  </property>
  <property fmtid="{D5CDD505-2E9C-101B-9397-08002B2CF9AE}" pid="7" name="MSIP_Label_f3b89073-f537-4fe2-a4ef-71907f8c184f_ActionId">
    <vt:lpwstr>7d319983-9403-4194-a810-00005cc4ba68</vt:lpwstr>
  </property>
  <property fmtid="{D5CDD505-2E9C-101B-9397-08002B2CF9AE}" pid="8" name="MSIP_Label_f3b89073-f537-4fe2-a4ef-71907f8c184f_ContentBits">
    <vt:lpwstr>2</vt:lpwstr>
  </property>
</Properties>
</file>